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1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27"/>
        <w:gridCol w:w="2261"/>
        <w:gridCol w:w="645"/>
        <w:gridCol w:w="1624"/>
        <w:gridCol w:w="645"/>
        <w:gridCol w:w="23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8" w:hRule="atLeast"/>
        </w:trPr>
        <w:tc>
          <w:tcPr>
            <w:tcW w:w="678" w:type="dxa"/>
            <w:tcBorders>
              <w:top w:val="nil"/>
              <w:left w:val="nil"/>
              <w:bottom w:val="nil"/>
              <w:right w:val="nil"/>
            </w:tcBorders>
            <w:shd w:val="clear" w:color="auto" w:fill="auto"/>
            <w:vAlign w:val="top"/>
          </w:tcPr>
          <w:p>
            <w:pPr>
              <w:keepNext w:val="0"/>
              <w:keepLines w:val="0"/>
              <w:widowControl/>
              <w:suppressLineNumbers w:val="0"/>
              <w:spacing w:before="0" w:beforeAutospacing="0" w:after="0" w:afterAutospacing="0" w:line="375" w:lineRule="atLeast"/>
              <w:ind w:left="0" w:right="0" w:firstLine="0"/>
              <w:jc w:val="left"/>
              <w:rPr>
                <w:rFonts w:hint="eastAsia" w:ascii="宋体" w:hAnsi="宋体" w:eastAsia="宋体" w:cs="宋体"/>
                <w:b/>
                <w:bCs/>
                <w:i w:val="0"/>
                <w:iCs w:val="0"/>
                <w:caps w:val="0"/>
                <w:color w:val="auto"/>
                <w:spacing w:val="0"/>
                <w:sz w:val="21"/>
                <w:szCs w:val="21"/>
              </w:rPr>
            </w:pPr>
            <w:r>
              <w:rPr>
                <w:rFonts w:hint="eastAsia" w:ascii="宋体" w:hAnsi="宋体" w:eastAsia="宋体" w:cs="宋体"/>
                <w:b/>
                <w:bCs/>
                <w:i w:val="0"/>
                <w:iCs w:val="0"/>
                <w:caps w:val="0"/>
                <w:color w:val="auto"/>
                <w:spacing w:val="0"/>
                <w:kern w:val="0"/>
                <w:sz w:val="21"/>
                <w:szCs w:val="21"/>
                <w:lang w:val="en-US" w:eastAsia="zh-CN" w:bidi="ar"/>
              </w:rPr>
              <w:t>信息名称：</w:t>
            </w:r>
          </w:p>
        </w:tc>
        <w:tc>
          <w:tcPr>
            <w:tcW w:w="0" w:type="auto"/>
            <w:gridSpan w:val="5"/>
            <w:tcBorders>
              <w:top w:val="nil"/>
              <w:left w:val="nil"/>
              <w:bottom w:val="nil"/>
              <w:right w:val="nil"/>
            </w:tcBorders>
            <w:shd w:val="clear" w:color="auto" w:fill="auto"/>
            <w:vAlign w:val="top"/>
          </w:tcPr>
          <w:p>
            <w:pPr>
              <w:keepNext w:val="0"/>
              <w:keepLines w:val="0"/>
              <w:widowControl/>
              <w:suppressLineNumbers w:val="0"/>
              <w:spacing w:before="0" w:beforeAutospacing="0" w:after="0" w:afterAutospacing="0" w:line="375" w:lineRule="atLeast"/>
              <w:ind w:left="0" w:right="0" w:firstLine="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教育部办公厅 工业和信息化部办公厅关于印发《现代产业学院建设指南（试行）》的通知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678" w:type="dxa"/>
            <w:tcBorders>
              <w:top w:val="nil"/>
              <w:left w:val="nil"/>
              <w:bottom w:val="nil"/>
              <w:right w:val="nil"/>
            </w:tcBorders>
            <w:shd w:val="clear" w:color="auto" w:fill="auto"/>
            <w:vAlign w:val="top"/>
          </w:tcPr>
          <w:p>
            <w:pPr>
              <w:keepNext w:val="0"/>
              <w:keepLines w:val="0"/>
              <w:widowControl/>
              <w:suppressLineNumbers w:val="0"/>
              <w:spacing w:before="0" w:beforeAutospacing="0" w:after="0" w:afterAutospacing="0" w:line="375" w:lineRule="atLeast"/>
              <w:ind w:left="0" w:right="0" w:firstLine="0"/>
              <w:jc w:val="left"/>
              <w:rPr>
                <w:rFonts w:hint="eastAsia" w:ascii="宋体" w:hAnsi="宋体" w:eastAsia="宋体" w:cs="宋体"/>
                <w:b/>
                <w:bCs/>
                <w:i w:val="0"/>
                <w:iCs w:val="0"/>
                <w:caps w:val="0"/>
                <w:color w:val="auto"/>
                <w:spacing w:val="0"/>
                <w:sz w:val="21"/>
                <w:szCs w:val="21"/>
              </w:rPr>
            </w:pPr>
            <w:r>
              <w:rPr>
                <w:rFonts w:hint="eastAsia" w:ascii="宋体" w:hAnsi="宋体" w:eastAsia="宋体" w:cs="宋体"/>
                <w:b/>
                <w:bCs/>
                <w:i w:val="0"/>
                <w:iCs w:val="0"/>
                <w:caps w:val="0"/>
                <w:color w:val="auto"/>
                <w:spacing w:val="0"/>
                <w:kern w:val="0"/>
                <w:sz w:val="21"/>
                <w:szCs w:val="21"/>
                <w:lang w:val="en-US" w:eastAsia="zh-CN" w:bidi="ar"/>
              </w:rPr>
              <w:t>信息索引：</w:t>
            </w:r>
          </w:p>
        </w:tc>
        <w:tc>
          <w:tcPr>
            <w:tcW w:w="1628" w:type="dxa"/>
            <w:tcBorders>
              <w:top w:val="nil"/>
              <w:left w:val="nil"/>
              <w:bottom w:val="nil"/>
              <w:right w:val="nil"/>
            </w:tcBorders>
            <w:shd w:val="clear" w:color="auto" w:fill="auto"/>
            <w:vAlign w:val="top"/>
          </w:tcPr>
          <w:p>
            <w:pPr>
              <w:keepNext w:val="0"/>
              <w:keepLines w:val="0"/>
              <w:widowControl/>
              <w:suppressLineNumbers w:val="0"/>
              <w:spacing w:before="0" w:beforeAutospacing="0" w:after="0" w:afterAutospacing="0" w:line="375" w:lineRule="atLeast"/>
              <w:ind w:left="0" w:right="0" w:firstLine="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360A08-07-2020-0023-1</w:t>
            </w:r>
          </w:p>
        </w:tc>
        <w:tc>
          <w:tcPr>
            <w:tcW w:w="678" w:type="dxa"/>
            <w:tcBorders>
              <w:top w:val="nil"/>
              <w:left w:val="nil"/>
              <w:bottom w:val="nil"/>
              <w:right w:val="nil"/>
            </w:tcBorders>
            <w:shd w:val="clear" w:color="auto" w:fill="auto"/>
            <w:vAlign w:val="top"/>
          </w:tcPr>
          <w:p>
            <w:pPr>
              <w:keepNext w:val="0"/>
              <w:keepLines w:val="0"/>
              <w:widowControl/>
              <w:suppressLineNumbers w:val="0"/>
              <w:spacing w:before="0" w:beforeAutospacing="0" w:after="0" w:afterAutospacing="0" w:line="375" w:lineRule="atLeast"/>
              <w:ind w:left="0" w:right="0" w:firstLine="0"/>
              <w:jc w:val="left"/>
              <w:rPr>
                <w:rFonts w:hint="eastAsia" w:ascii="宋体" w:hAnsi="宋体" w:eastAsia="宋体" w:cs="宋体"/>
                <w:b/>
                <w:bCs/>
                <w:i w:val="0"/>
                <w:iCs w:val="0"/>
                <w:caps w:val="0"/>
                <w:color w:val="auto"/>
                <w:spacing w:val="0"/>
                <w:sz w:val="21"/>
                <w:szCs w:val="21"/>
              </w:rPr>
            </w:pPr>
            <w:r>
              <w:rPr>
                <w:rFonts w:hint="eastAsia" w:ascii="宋体" w:hAnsi="宋体" w:eastAsia="宋体" w:cs="宋体"/>
                <w:b/>
                <w:bCs/>
                <w:i w:val="0"/>
                <w:iCs w:val="0"/>
                <w:caps w:val="0"/>
                <w:color w:val="auto"/>
                <w:spacing w:val="0"/>
                <w:kern w:val="0"/>
                <w:sz w:val="21"/>
                <w:szCs w:val="21"/>
                <w:lang w:val="en-US" w:eastAsia="zh-CN" w:bidi="ar"/>
              </w:rPr>
              <w:t>生成日期：</w:t>
            </w:r>
          </w:p>
        </w:tc>
        <w:tc>
          <w:tcPr>
            <w:tcW w:w="1709" w:type="dxa"/>
            <w:tcBorders>
              <w:top w:val="nil"/>
              <w:left w:val="nil"/>
              <w:bottom w:val="nil"/>
              <w:right w:val="nil"/>
            </w:tcBorders>
            <w:shd w:val="clear" w:color="auto" w:fill="auto"/>
            <w:vAlign w:val="top"/>
          </w:tcPr>
          <w:p>
            <w:pPr>
              <w:keepNext w:val="0"/>
              <w:keepLines w:val="0"/>
              <w:widowControl/>
              <w:suppressLineNumbers w:val="0"/>
              <w:spacing w:before="0" w:beforeAutospacing="0" w:after="0" w:afterAutospacing="0" w:line="375" w:lineRule="atLeast"/>
              <w:ind w:left="0" w:right="0" w:firstLine="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2020-08-11</w:t>
            </w:r>
          </w:p>
        </w:tc>
        <w:tc>
          <w:tcPr>
            <w:tcW w:w="678" w:type="dxa"/>
            <w:tcBorders>
              <w:top w:val="nil"/>
              <w:left w:val="nil"/>
              <w:bottom w:val="nil"/>
              <w:right w:val="nil"/>
            </w:tcBorders>
            <w:shd w:val="clear" w:color="auto" w:fill="auto"/>
            <w:vAlign w:val="top"/>
          </w:tcPr>
          <w:p>
            <w:pPr>
              <w:keepNext w:val="0"/>
              <w:keepLines w:val="0"/>
              <w:widowControl/>
              <w:suppressLineNumbers w:val="0"/>
              <w:spacing w:before="0" w:beforeAutospacing="0" w:after="0" w:afterAutospacing="0" w:line="375" w:lineRule="atLeast"/>
              <w:ind w:left="0" w:right="0" w:firstLine="0"/>
              <w:jc w:val="left"/>
              <w:rPr>
                <w:rFonts w:hint="eastAsia" w:ascii="宋体" w:hAnsi="宋体" w:eastAsia="宋体" w:cs="宋体"/>
                <w:b/>
                <w:bCs/>
                <w:i w:val="0"/>
                <w:iCs w:val="0"/>
                <w:caps w:val="0"/>
                <w:color w:val="auto"/>
                <w:spacing w:val="0"/>
                <w:sz w:val="21"/>
                <w:szCs w:val="21"/>
              </w:rPr>
            </w:pPr>
            <w:r>
              <w:rPr>
                <w:rFonts w:hint="eastAsia" w:ascii="宋体" w:hAnsi="宋体" w:eastAsia="宋体" w:cs="宋体"/>
                <w:b/>
                <w:bCs/>
                <w:i w:val="0"/>
                <w:iCs w:val="0"/>
                <w:caps w:val="0"/>
                <w:color w:val="auto"/>
                <w:spacing w:val="0"/>
                <w:kern w:val="0"/>
                <w:sz w:val="21"/>
                <w:szCs w:val="21"/>
                <w:lang w:val="en-US" w:eastAsia="zh-CN" w:bidi="ar"/>
              </w:rPr>
              <w:t>发文机构：</w:t>
            </w:r>
          </w:p>
        </w:tc>
        <w:tc>
          <w:tcPr>
            <w:tcW w:w="2768" w:type="dxa"/>
            <w:tcBorders>
              <w:top w:val="nil"/>
              <w:left w:val="nil"/>
              <w:bottom w:val="nil"/>
              <w:right w:val="nil"/>
            </w:tcBorders>
            <w:shd w:val="clear" w:color="auto" w:fill="auto"/>
            <w:vAlign w:val="top"/>
          </w:tcPr>
          <w:p>
            <w:pPr>
              <w:keepNext w:val="0"/>
              <w:keepLines w:val="0"/>
              <w:widowControl/>
              <w:suppressLineNumbers w:val="0"/>
              <w:spacing w:before="0" w:beforeAutospacing="0" w:after="0" w:afterAutospacing="0" w:line="375" w:lineRule="atLeast"/>
              <w:ind w:left="0" w:right="0" w:firstLine="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教育部办公厅 工业和信息化部办公厅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678" w:type="dxa"/>
            <w:tcBorders>
              <w:top w:val="nil"/>
              <w:left w:val="nil"/>
              <w:bottom w:val="nil"/>
              <w:right w:val="nil"/>
            </w:tcBorders>
            <w:shd w:val="clear" w:color="auto" w:fill="auto"/>
            <w:vAlign w:val="top"/>
          </w:tcPr>
          <w:p>
            <w:pPr>
              <w:keepNext w:val="0"/>
              <w:keepLines w:val="0"/>
              <w:widowControl/>
              <w:suppressLineNumbers w:val="0"/>
              <w:spacing w:before="0" w:beforeAutospacing="0" w:after="0" w:afterAutospacing="0" w:line="375" w:lineRule="atLeast"/>
              <w:ind w:left="0" w:right="0" w:firstLine="0"/>
              <w:jc w:val="left"/>
              <w:rPr>
                <w:rFonts w:hint="eastAsia" w:ascii="宋体" w:hAnsi="宋体" w:eastAsia="宋体" w:cs="宋体"/>
                <w:b/>
                <w:bCs/>
                <w:i w:val="0"/>
                <w:iCs w:val="0"/>
                <w:caps w:val="0"/>
                <w:color w:val="auto"/>
                <w:spacing w:val="0"/>
                <w:sz w:val="21"/>
                <w:szCs w:val="21"/>
              </w:rPr>
            </w:pPr>
            <w:r>
              <w:rPr>
                <w:rFonts w:hint="eastAsia" w:ascii="宋体" w:hAnsi="宋体" w:eastAsia="宋体" w:cs="宋体"/>
                <w:b/>
                <w:bCs/>
                <w:i w:val="0"/>
                <w:iCs w:val="0"/>
                <w:caps w:val="0"/>
                <w:color w:val="auto"/>
                <w:spacing w:val="0"/>
                <w:kern w:val="0"/>
                <w:sz w:val="21"/>
                <w:szCs w:val="21"/>
                <w:lang w:val="en-US" w:eastAsia="zh-CN" w:bidi="ar"/>
              </w:rPr>
              <w:t>发文字号：</w:t>
            </w:r>
          </w:p>
        </w:tc>
        <w:tc>
          <w:tcPr>
            <w:tcW w:w="0" w:type="auto"/>
            <w:tcBorders>
              <w:top w:val="nil"/>
              <w:left w:val="nil"/>
              <w:bottom w:val="nil"/>
              <w:right w:val="nil"/>
            </w:tcBorders>
            <w:shd w:val="clear" w:color="auto" w:fill="auto"/>
            <w:vAlign w:val="top"/>
          </w:tcPr>
          <w:p>
            <w:pPr>
              <w:keepNext w:val="0"/>
              <w:keepLines w:val="0"/>
              <w:widowControl/>
              <w:suppressLineNumbers w:val="0"/>
              <w:spacing w:before="0" w:beforeAutospacing="0" w:after="0" w:afterAutospacing="0" w:line="375" w:lineRule="atLeast"/>
              <w:ind w:left="0" w:right="0" w:firstLine="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教高厅函〔2020〕16号</w:t>
            </w:r>
          </w:p>
        </w:tc>
        <w:tc>
          <w:tcPr>
            <w:tcW w:w="678" w:type="dxa"/>
            <w:tcBorders>
              <w:top w:val="nil"/>
              <w:left w:val="nil"/>
              <w:bottom w:val="nil"/>
              <w:right w:val="nil"/>
            </w:tcBorders>
            <w:shd w:val="clear" w:color="auto" w:fill="auto"/>
            <w:vAlign w:val="top"/>
          </w:tcPr>
          <w:p>
            <w:pPr>
              <w:keepNext w:val="0"/>
              <w:keepLines w:val="0"/>
              <w:widowControl/>
              <w:suppressLineNumbers w:val="0"/>
              <w:spacing w:before="0" w:beforeAutospacing="0" w:after="0" w:afterAutospacing="0" w:line="375" w:lineRule="atLeast"/>
              <w:ind w:left="0" w:right="0" w:firstLine="0"/>
              <w:jc w:val="left"/>
              <w:rPr>
                <w:rFonts w:hint="eastAsia" w:ascii="宋体" w:hAnsi="宋体" w:eastAsia="宋体" w:cs="宋体"/>
                <w:b/>
                <w:bCs/>
                <w:i w:val="0"/>
                <w:iCs w:val="0"/>
                <w:caps w:val="0"/>
                <w:color w:val="auto"/>
                <w:spacing w:val="0"/>
                <w:sz w:val="21"/>
                <w:szCs w:val="21"/>
              </w:rPr>
            </w:pPr>
            <w:r>
              <w:rPr>
                <w:rFonts w:hint="eastAsia" w:ascii="宋体" w:hAnsi="宋体" w:eastAsia="宋体" w:cs="宋体"/>
                <w:b/>
                <w:bCs/>
                <w:i w:val="0"/>
                <w:iCs w:val="0"/>
                <w:caps w:val="0"/>
                <w:color w:val="auto"/>
                <w:spacing w:val="0"/>
                <w:kern w:val="0"/>
                <w:sz w:val="21"/>
                <w:szCs w:val="21"/>
                <w:lang w:val="en-US" w:eastAsia="zh-CN" w:bidi="ar"/>
              </w:rPr>
              <w:t>信息类别：</w:t>
            </w:r>
          </w:p>
        </w:tc>
        <w:tc>
          <w:tcPr>
            <w:tcW w:w="0" w:type="auto"/>
            <w:gridSpan w:val="3"/>
            <w:tcBorders>
              <w:top w:val="nil"/>
              <w:left w:val="nil"/>
              <w:bottom w:val="nil"/>
              <w:right w:val="nil"/>
            </w:tcBorders>
            <w:shd w:val="clear" w:color="auto" w:fill="auto"/>
            <w:vAlign w:val="top"/>
          </w:tcPr>
          <w:p>
            <w:pPr>
              <w:keepNext w:val="0"/>
              <w:keepLines w:val="0"/>
              <w:widowControl/>
              <w:suppressLineNumbers w:val="0"/>
              <w:spacing w:before="0" w:beforeAutospacing="0" w:after="0" w:afterAutospacing="0" w:line="375" w:lineRule="atLeast"/>
              <w:ind w:left="0" w:right="0" w:firstLine="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高等教育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678" w:type="dxa"/>
            <w:tcBorders>
              <w:top w:val="nil"/>
              <w:left w:val="nil"/>
              <w:bottom w:val="nil"/>
              <w:right w:val="nil"/>
            </w:tcBorders>
            <w:shd w:val="clear" w:color="auto" w:fill="auto"/>
            <w:vAlign w:val="top"/>
          </w:tcPr>
          <w:p>
            <w:pPr>
              <w:keepNext w:val="0"/>
              <w:keepLines w:val="0"/>
              <w:widowControl/>
              <w:suppressLineNumbers w:val="0"/>
              <w:spacing w:before="0" w:beforeAutospacing="0" w:after="0" w:afterAutospacing="0" w:line="375" w:lineRule="atLeast"/>
              <w:ind w:left="0" w:right="0" w:firstLine="0"/>
              <w:jc w:val="left"/>
              <w:rPr>
                <w:rFonts w:hint="eastAsia" w:ascii="宋体" w:hAnsi="宋体" w:eastAsia="宋体" w:cs="宋体"/>
                <w:b/>
                <w:bCs/>
                <w:i w:val="0"/>
                <w:iCs w:val="0"/>
                <w:caps w:val="0"/>
                <w:color w:val="auto"/>
                <w:spacing w:val="0"/>
                <w:sz w:val="21"/>
                <w:szCs w:val="21"/>
              </w:rPr>
            </w:pPr>
            <w:r>
              <w:rPr>
                <w:rFonts w:hint="eastAsia" w:ascii="宋体" w:hAnsi="宋体" w:eastAsia="宋体" w:cs="宋体"/>
                <w:b/>
                <w:bCs/>
                <w:i w:val="0"/>
                <w:iCs w:val="0"/>
                <w:caps w:val="0"/>
                <w:color w:val="auto"/>
                <w:spacing w:val="0"/>
                <w:kern w:val="0"/>
                <w:sz w:val="21"/>
                <w:szCs w:val="21"/>
                <w:lang w:val="en-US" w:eastAsia="zh-CN" w:bidi="ar"/>
              </w:rPr>
              <w:t>内容概述：</w:t>
            </w:r>
          </w:p>
        </w:tc>
        <w:tc>
          <w:tcPr>
            <w:tcW w:w="0" w:type="auto"/>
            <w:gridSpan w:val="5"/>
            <w:tcBorders>
              <w:top w:val="nil"/>
              <w:left w:val="nil"/>
              <w:bottom w:val="nil"/>
              <w:right w:val="nil"/>
            </w:tcBorders>
            <w:shd w:val="clear" w:color="auto" w:fill="auto"/>
            <w:vAlign w:val="top"/>
          </w:tcPr>
          <w:p>
            <w:pPr>
              <w:keepNext w:val="0"/>
              <w:keepLines w:val="0"/>
              <w:widowControl/>
              <w:suppressLineNumbers w:val="0"/>
              <w:spacing w:before="0" w:beforeAutospacing="0" w:after="0" w:afterAutospacing="0" w:line="375" w:lineRule="atLeast"/>
              <w:ind w:left="0" w:right="0" w:firstLine="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教育部办公厅、工业和信息化部办公厅印发《现代产业学院建设指南（试行）》。</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30"/>
          <w:szCs w:val="30"/>
        </w:rPr>
      </w:pPr>
      <w:r>
        <w:rPr>
          <w:i w:val="0"/>
          <w:iCs w:val="0"/>
          <w:caps w:val="0"/>
          <w:color w:val="auto"/>
          <w:spacing w:val="0"/>
          <w:sz w:val="30"/>
          <w:szCs w:val="30"/>
        </w:rPr>
        <w:t>教育部办公厅 工业和信息化部办公厅关于</w:t>
      </w:r>
      <w:r>
        <w:rPr>
          <w:i w:val="0"/>
          <w:iCs w:val="0"/>
          <w:caps w:val="0"/>
          <w:color w:val="auto"/>
          <w:spacing w:val="0"/>
          <w:sz w:val="30"/>
          <w:szCs w:val="30"/>
        </w:rPr>
        <w:br w:type="textWrapping"/>
      </w:r>
      <w:r>
        <w:rPr>
          <w:i w:val="0"/>
          <w:iCs w:val="0"/>
          <w:caps w:val="0"/>
          <w:color w:val="auto"/>
          <w:spacing w:val="0"/>
          <w:sz w:val="30"/>
          <w:szCs w:val="30"/>
        </w:rPr>
        <w:t>印发《现代产业学院建设指南（试行）》的通知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jc w:val="right"/>
        <w:rPr>
          <w:color w:val="auto"/>
        </w:rPr>
      </w:pPr>
      <w:r>
        <w:rPr>
          <w:rFonts w:hint="eastAsia" w:ascii="微软雅黑" w:hAnsi="微软雅黑" w:eastAsia="微软雅黑" w:cs="微软雅黑"/>
          <w:i w:val="0"/>
          <w:iCs w:val="0"/>
          <w:caps w:val="0"/>
          <w:color w:val="auto"/>
          <w:spacing w:val="0"/>
          <w:sz w:val="24"/>
          <w:szCs w:val="24"/>
        </w:rPr>
        <w:t>教高厅函〔2020〕16号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微软雅黑" w:hAnsi="微软雅黑" w:eastAsia="微软雅黑" w:cs="微软雅黑"/>
          <w:i w:val="0"/>
          <w:iCs w:val="0"/>
          <w:caps w:val="0"/>
          <w:color w:val="auto"/>
          <w:spacing w:val="0"/>
          <w:sz w:val="24"/>
          <w:szCs w:val="24"/>
        </w:rPr>
        <w:t>各省、自治区、直辖市教育厅（教委）、工业和信息化主管部门，新疆生产建设兵团教育局、工业和信息化局，有关部门（单位）教育司（局），部属各高等学校、部省合建各高等学校：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微软雅黑" w:hAnsi="微软雅黑" w:eastAsia="微软雅黑" w:cs="微软雅黑"/>
          <w:i w:val="0"/>
          <w:iCs w:val="0"/>
          <w:caps w:val="0"/>
          <w:color w:val="auto"/>
          <w:spacing w:val="0"/>
          <w:sz w:val="24"/>
          <w:szCs w:val="24"/>
        </w:rPr>
        <w:t>　　为贯彻国家有关战略要求，落实《国务院办公厅关于深化产教融合的若干意见》（国办发〔2017〕95号）和《教育部 工业和信息化部 中国工程院关于加快建设发展新工科 实施卓越工程师教育培养计划2.0的意见》（教高〔2018〕3号）等文件精神，推进现代产业学院建设工作，教育部、工业和信息化部研究制定了《现代产业学院建设指南（试行）》，现印发给你们，请结合本地、本单位实际，认真遵照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color w:val="auto"/>
        </w:rPr>
      </w:pPr>
      <w:r>
        <w:rPr>
          <w:rFonts w:hint="eastAsia" w:ascii="微软雅黑" w:hAnsi="微软雅黑" w:eastAsia="微软雅黑" w:cs="微软雅黑"/>
          <w:i w:val="0"/>
          <w:iCs w:val="0"/>
          <w:caps w:val="0"/>
          <w:color w:val="auto"/>
          <w:spacing w:val="0"/>
          <w:sz w:val="24"/>
          <w:szCs w:val="24"/>
        </w:rPr>
        <w:t>教育部办公厅 工业和信息化部办公厅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color w:val="auto"/>
        </w:rPr>
      </w:pPr>
      <w:r>
        <w:rPr>
          <w:rFonts w:hint="eastAsia" w:ascii="微软雅黑" w:hAnsi="微软雅黑" w:eastAsia="微软雅黑" w:cs="微软雅黑"/>
          <w:i w:val="0"/>
          <w:iCs w:val="0"/>
          <w:caps w:val="0"/>
          <w:color w:val="auto"/>
          <w:spacing w:val="0"/>
          <w:sz w:val="24"/>
          <w:szCs w:val="24"/>
        </w:rPr>
        <w:t>2020年7月30日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Style w:val="6"/>
          <w:rFonts w:hint="eastAsia" w:ascii="微软雅黑" w:hAnsi="微软雅黑" w:eastAsia="微软雅黑" w:cs="微软雅黑"/>
          <w:i w:val="0"/>
          <w:iCs w:val="0"/>
          <w:caps w:val="0"/>
          <w:color w:val="auto"/>
          <w:spacing w:val="0"/>
          <w:sz w:val="24"/>
          <w:szCs w:val="24"/>
        </w:rPr>
        <w:t>现代产业学院建设指南（试行）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微软雅黑" w:hAnsi="微软雅黑" w:eastAsia="微软雅黑" w:cs="微软雅黑"/>
          <w:i w:val="0"/>
          <w:iCs w:val="0"/>
          <w:caps w:val="0"/>
          <w:color w:val="auto"/>
          <w:spacing w:val="0"/>
          <w:sz w:val="24"/>
          <w:szCs w:val="24"/>
        </w:rPr>
        <w:t>　　培养适应和引领现代产业发展的高素质应用型、复合型、创新型人才，是高等教育支撑经济高质量发展的必然要求，是推动高校分类发展、特色发展的重要举措。为扎实推进新工科建设再深化、再拓展、再突破、再出发，协调推进新工科与新农科、新医科、新文科融合发展，全面提高人才培养能力，经研究，决定在特色鲜明、与产业紧密联系的高校建设若干与地方政府、行业企业等多主体共建共管共享的现代产业学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微软雅黑" w:hAnsi="微软雅黑" w:eastAsia="微软雅黑" w:cs="微软雅黑"/>
          <w:i w:val="0"/>
          <w:iCs w:val="0"/>
          <w:caps w:val="0"/>
          <w:color w:val="auto"/>
          <w:spacing w:val="0"/>
          <w:sz w:val="24"/>
          <w:szCs w:val="24"/>
        </w:rPr>
        <w:t>　　</w:t>
      </w:r>
      <w:r>
        <w:rPr>
          <w:rStyle w:val="6"/>
          <w:rFonts w:hint="eastAsia" w:ascii="微软雅黑" w:hAnsi="微软雅黑" w:eastAsia="微软雅黑" w:cs="微软雅黑"/>
          <w:i w:val="0"/>
          <w:iCs w:val="0"/>
          <w:caps w:val="0"/>
          <w:color w:val="auto"/>
          <w:spacing w:val="0"/>
          <w:sz w:val="24"/>
          <w:szCs w:val="24"/>
        </w:rPr>
        <w:t>一、指导思想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微软雅黑" w:hAnsi="微软雅黑" w:eastAsia="微软雅黑" w:cs="微软雅黑"/>
          <w:i w:val="0"/>
          <w:iCs w:val="0"/>
          <w:caps w:val="0"/>
          <w:color w:val="auto"/>
          <w:spacing w:val="0"/>
          <w:sz w:val="24"/>
          <w:szCs w:val="24"/>
        </w:rPr>
        <w:t>　　以习近平新时代中国特色社会主义思想为指导，深入贯彻党的十九大和十九届二中、三中、四中全会精神，贯彻落实全国教育大会精神和《中国教育现代化2035》，以立德树人为根本任务，以学生发展为中心，突破传统路径依赖，充分发挥产业优势，发挥企业重要教育主体作用，深化产教融合，推动高校探索现代产业学院建设模式，建强优势特色专业，完善人才培养协同机制，造就大批产业需要的高素质应用型、复合型、创新型人才，为提高产业竞争力和汇聚发展新动能提供人才支持和智力支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微软雅黑" w:hAnsi="微软雅黑" w:eastAsia="微软雅黑" w:cs="微软雅黑"/>
          <w:i w:val="0"/>
          <w:iCs w:val="0"/>
          <w:caps w:val="0"/>
          <w:color w:val="auto"/>
          <w:spacing w:val="0"/>
          <w:sz w:val="24"/>
          <w:szCs w:val="24"/>
        </w:rPr>
        <w:t>　　</w:t>
      </w:r>
      <w:r>
        <w:rPr>
          <w:rStyle w:val="6"/>
          <w:rFonts w:hint="eastAsia" w:ascii="微软雅黑" w:hAnsi="微软雅黑" w:eastAsia="微软雅黑" w:cs="微软雅黑"/>
          <w:i w:val="0"/>
          <w:iCs w:val="0"/>
          <w:caps w:val="0"/>
          <w:color w:val="auto"/>
          <w:spacing w:val="0"/>
          <w:sz w:val="24"/>
          <w:szCs w:val="24"/>
        </w:rPr>
        <w:t>二、建设目标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微软雅黑" w:hAnsi="微软雅黑" w:eastAsia="微软雅黑" w:cs="微软雅黑"/>
          <w:i w:val="0"/>
          <w:iCs w:val="0"/>
          <w:caps w:val="0"/>
          <w:color w:val="auto"/>
          <w:spacing w:val="0"/>
          <w:sz w:val="24"/>
          <w:szCs w:val="24"/>
        </w:rPr>
        <w:t>　　经过四年左右时间，以区域产业发展急需为牵引，面向行业特色鲜明、与产业联系紧密的高校，重点是应用型高校，建设一批现代产业学院。在此基础上，引导高校瞄准与地方经济社会发展的结合点，不断优化专业结构、增强办学活力，探索产业链、创新链、教育链有效衔接机制，建立新型信息、人才、技术与物质资源共享机制，完善产教融合协同育人机制，创新企业兼职教师评聘机制，构建高等教育与产业集群联动发展机制，打造一批融人才培养、科学研究、技术创新、企业服务、学生创业等功能于一体的示范性人才培养实体，为应用型高校建设提供可复制、可推广的新模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微软雅黑" w:hAnsi="微软雅黑" w:eastAsia="微软雅黑" w:cs="微软雅黑"/>
          <w:i w:val="0"/>
          <w:iCs w:val="0"/>
          <w:caps w:val="0"/>
          <w:color w:val="auto"/>
          <w:spacing w:val="0"/>
          <w:sz w:val="24"/>
          <w:szCs w:val="24"/>
        </w:rPr>
        <w:t>　　</w:t>
      </w:r>
      <w:r>
        <w:rPr>
          <w:rStyle w:val="6"/>
          <w:rFonts w:hint="eastAsia" w:ascii="微软雅黑" w:hAnsi="微软雅黑" w:eastAsia="微软雅黑" w:cs="微软雅黑"/>
          <w:i w:val="0"/>
          <w:iCs w:val="0"/>
          <w:caps w:val="0"/>
          <w:color w:val="auto"/>
          <w:spacing w:val="0"/>
          <w:sz w:val="24"/>
          <w:szCs w:val="24"/>
        </w:rPr>
        <w:t>三、建设原则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微软雅黑" w:hAnsi="微软雅黑" w:eastAsia="微软雅黑" w:cs="微软雅黑"/>
          <w:i w:val="0"/>
          <w:iCs w:val="0"/>
          <w:caps w:val="0"/>
          <w:color w:val="auto"/>
          <w:spacing w:val="0"/>
          <w:sz w:val="24"/>
          <w:szCs w:val="24"/>
        </w:rPr>
        <w:t>　　坚持育人为本。以立德树人为根本任务，以提高人才培养能力为核心，推动学校人才培养供给侧与产业需求侧紧密对接，培养符合产业高质量发展和创新需求的高素质人才。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微软雅黑" w:hAnsi="微软雅黑" w:eastAsia="微软雅黑" w:cs="微软雅黑"/>
          <w:i w:val="0"/>
          <w:iCs w:val="0"/>
          <w:caps w:val="0"/>
          <w:color w:val="auto"/>
          <w:spacing w:val="0"/>
          <w:sz w:val="24"/>
          <w:szCs w:val="24"/>
        </w:rPr>
        <w:t>　　坚持产业为要。依托优势学院专业，科学定位人才培养目标，构建紧密对接产业链、创新链的专业体系，切实增强人才对经济高质量发展的适应性。突出高校科技创新和人才集聚优势，强化“产学研用”体系化设计，增强服务产业发展的支撑作用，推动经济转型升级、培育经济发展新动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微软雅黑" w:hAnsi="微软雅黑" w:eastAsia="微软雅黑" w:cs="微软雅黑"/>
          <w:i w:val="0"/>
          <w:iCs w:val="0"/>
          <w:caps w:val="0"/>
          <w:color w:val="auto"/>
          <w:spacing w:val="0"/>
          <w:sz w:val="24"/>
          <w:szCs w:val="24"/>
        </w:rPr>
        <w:t>　　坚持产教融合。将人才培养、教师专业化发展、实训实习实践、学生创新创业、企业服务科技创新功能有机结合，促进产教融合、科教融合，打造集产、学、研、转、创、用于一体，互补、互利、互动、多赢的实体性人才培养创新平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微软雅黑" w:hAnsi="微软雅黑" w:eastAsia="微软雅黑" w:cs="微软雅黑"/>
          <w:i w:val="0"/>
          <w:iCs w:val="0"/>
          <w:caps w:val="0"/>
          <w:color w:val="auto"/>
          <w:spacing w:val="0"/>
          <w:sz w:val="24"/>
          <w:szCs w:val="24"/>
        </w:rPr>
        <w:t>　　坚持创新发展。创新管理方式，充分发挥高校与地方政府、行业协会、企业机构等双方或多方办学主体作用，加强区域产业、教育、科技资源的统筹和部门之间的协调，推进共同建设、共同管理、共享资源，探索“校企联合”“校园联合”等多种合作办学模式，实现现代产业学院可持续、内涵式创新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微软雅黑" w:hAnsi="微软雅黑" w:eastAsia="微软雅黑" w:cs="微软雅黑"/>
          <w:i w:val="0"/>
          <w:iCs w:val="0"/>
          <w:caps w:val="0"/>
          <w:color w:val="auto"/>
          <w:spacing w:val="0"/>
          <w:sz w:val="24"/>
          <w:szCs w:val="24"/>
        </w:rPr>
        <w:t>　　</w:t>
      </w:r>
      <w:r>
        <w:rPr>
          <w:rStyle w:val="6"/>
          <w:rFonts w:hint="eastAsia" w:ascii="微软雅黑" w:hAnsi="微软雅黑" w:eastAsia="微软雅黑" w:cs="微软雅黑"/>
          <w:i w:val="0"/>
          <w:iCs w:val="0"/>
          <w:caps w:val="0"/>
          <w:color w:val="auto"/>
          <w:spacing w:val="0"/>
          <w:sz w:val="24"/>
          <w:szCs w:val="24"/>
        </w:rPr>
        <w:t>四、建设任务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微软雅黑" w:hAnsi="微软雅黑" w:eastAsia="微软雅黑" w:cs="微软雅黑"/>
          <w:i w:val="0"/>
          <w:iCs w:val="0"/>
          <w:caps w:val="0"/>
          <w:color w:val="auto"/>
          <w:spacing w:val="0"/>
          <w:sz w:val="24"/>
          <w:szCs w:val="24"/>
        </w:rPr>
        <w:t>　　（一）创新人才培养模式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微软雅黑" w:hAnsi="微软雅黑" w:eastAsia="微软雅黑" w:cs="微软雅黑"/>
          <w:i w:val="0"/>
          <w:iCs w:val="0"/>
          <w:caps w:val="0"/>
          <w:color w:val="auto"/>
          <w:spacing w:val="0"/>
          <w:sz w:val="24"/>
          <w:szCs w:val="24"/>
        </w:rPr>
        <w:t>　　面向产业转型发展和区域经济社会需求，以强化学生职业胜任力和持续发展能力为目标，以提高学生实践和创新能力为重点，深化产教深度融合、校企合作，创新人才培养方案、课程体系、方式方法、保障机制等。鼓励打破常规对课程体系进行大胆革新，探索构建符合人才培养定位的课程新体系和专业建设新标准。推进“引企入教”，推进启发式、探究式等教学方法改革和合作式、任务式、项目式、企业实操教学等培养模式综合改革，促进课程内容与技术发展衔接、教学过程与生产过程对接、人才培养与产业需求融合。协调推进多主体之间开放合作，整合多主体创新要素和资源，凝练产教深度融合、多方协同育人的应用型人才培养模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微软雅黑" w:hAnsi="微软雅黑" w:eastAsia="微软雅黑" w:cs="微软雅黑"/>
          <w:i w:val="0"/>
          <w:iCs w:val="0"/>
          <w:caps w:val="0"/>
          <w:color w:val="auto"/>
          <w:spacing w:val="0"/>
          <w:sz w:val="24"/>
          <w:szCs w:val="24"/>
        </w:rPr>
        <w:t>　　（二）提升专业建设质量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微软雅黑" w:hAnsi="微软雅黑" w:eastAsia="微软雅黑" w:cs="微软雅黑"/>
          <w:i w:val="0"/>
          <w:iCs w:val="0"/>
          <w:caps w:val="0"/>
          <w:color w:val="auto"/>
          <w:spacing w:val="0"/>
          <w:sz w:val="24"/>
          <w:szCs w:val="24"/>
        </w:rPr>
        <w:t>　　围绕国家和地方确定的重点发展领域，着力推进新工科与新农科、新医科、新文科融合发展，深化专业内涵建设，主动调整专业结构，着力打造特色优势专业，推动专业集群式发展。紧密对接产业链，实现多专业交叉复合，支撑同一产业链的若干关联专业快速发展；依据行业和产业发展前沿趋势，推动建设一批应用型本科新专业，探索本科专业创新发展的建设路径；推进与企业合作成立专业建设指导委员会，引入行业标准和企业资源积极开展国际实质等效的专业认证，促进专业认证与创业就业资格协调联动，提高专业建设标准化、国际化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微软雅黑" w:hAnsi="微软雅黑" w:eastAsia="微软雅黑" w:cs="微软雅黑"/>
          <w:i w:val="0"/>
          <w:iCs w:val="0"/>
          <w:caps w:val="0"/>
          <w:color w:val="auto"/>
          <w:spacing w:val="0"/>
          <w:sz w:val="24"/>
          <w:szCs w:val="24"/>
        </w:rPr>
        <w:t>　　（三）开发校企合作课程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微软雅黑" w:hAnsi="微软雅黑" w:eastAsia="微软雅黑" w:cs="微软雅黑"/>
          <w:i w:val="0"/>
          <w:iCs w:val="0"/>
          <w:caps w:val="0"/>
          <w:color w:val="auto"/>
          <w:spacing w:val="0"/>
          <w:sz w:val="24"/>
          <w:szCs w:val="24"/>
        </w:rPr>
        <w:t>　　引导行业企业深度参与教材编制和课程建设，设计课程体系、优化课程结构。加快课程教学内容迭代，关注行业创新链条的动态发展，推动课程内容与行业标准、生产流程、项目开发等产业需求科学对接，建设一批高质量校企合作课程、教材和工程案例集。以行业企业技术革新项目为依托，紧密结合产业实际创新教学内容、方法、手段，增加综合型、设计性实践教学比重，把行业企业的真实项目、产品设计等作为毕业设计和课程设计等实践环节的选题来源。依据专业特点，使用真实生产线等环境开展浸润式实景、实操、实地教学，着力提升学生的动手实践能力，有效提高学生对产业的认知程度和解决复杂问题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微软雅黑" w:hAnsi="微软雅黑" w:eastAsia="微软雅黑" w:cs="微软雅黑"/>
          <w:i w:val="0"/>
          <w:iCs w:val="0"/>
          <w:caps w:val="0"/>
          <w:color w:val="auto"/>
          <w:spacing w:val="0"/>
          <w:sz w:val="24"/>
          <w:szCs w:val="24"/>
        </w:rPr>
        <w:t>　　（四）打造实习实训基地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微软雅黑" w:hAnsi="微软雅黑" w:eastAsia="微软雅黑" w:cs="微软雅黑"/>
          <w:i w:val="0"/>
          <w:iCs w:val="0"/>
          <w:caps w:val="0"/>
          <w:color w:val="auto"/>
          <w:spacing w:val="0"/>
          <w:sz w:val="24"/>
          <w:szCs w:val="24"/>
        </w:rPr>
        <w:t>　　基于行业企业的产品、技术和生产流程，创新多主体间的合作模式，构建基于产业发展和创新需求的实践教学和实训实习环境。统筹各类实践教学资源，充分利用科技产业园、行业龙头企业等优质资源，构建功能集约、开放共享、高效运行的专业类或跨专业类实践教学平台。通过引进企业研发平台、生产基地，建设一批兼具生产、教学、研发、创新创业功能的校企一体、产学研用协同的大型实验、实训实习基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微软雅黑" w:hAnsi="微软雅黑" w:eastAsia="微软雅黑" w:cs="微软雅黑"/>
          <w:i w:val="0"/>
          <w:iCs w:val="0"/>
          <w:caps w:val="0"/>
          <w:color w:val="auto"/>
          <w:spacing w:val="0"/>
          <w:sz w:val="24"/>
          <w:szCs w:val="24"/>
        </w:rPr>
        <w:t>　　（五）建设高水平教师队伍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微软雅黑" w:hAnsi="微软雅黑" w:eastAsia="微软雅黑" w:cs="微软雅黑"/>
          <w:i w:val="0"/>
          <w:iCs w:val="0"/>
          <w:caps w:val="0"/>
          <w:color w:val="auto"/>
          <w:spacing w:val="0"/>
          <w:sz w:val="24"/>
          <w:szCs w:val="24"/>
        </w:rPr>
        <w:t>　　依托现代产业学院，探索校企人才双向流动机制，设置灵活的人事制度，建立选聘行业协会、企业业务骨干、优秀技术和管理人才到高校任教的有效路径。探索实施产业教师（导师）特设岗位计划，完善产业兼职教师引进、认证与使用机制。加强教师培训，共建一批教师企业实践岗位，开展师资交流、研讨、培训等业务，将现代产业学院建设成“双师双能型”教师培养培训基地。开展校企导师联合授课、联合指导，推进教师激励制度探索，打造高水平教学团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微软雅黑" w:hAnsi="微软雅黑" w:eastAsia="微软雅黑" w:cs="微软雅黑"/>
          <w:i w:val="0"/>
          <w:iCs w:val="0"/>
          <w:caps w:val="0"/>
          <w:color w:val="auto"/>
          <w:spacing w:val="0"/>
          <w:sz w:val="24"/>
          <w:szCs w:val="24"/>
        </w:rPr>
        <w:t>　　（六）搭建产学研服务平台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微软雅黑" w:hAnsi="微软雅黑" w:eastAsia="微软雅黑" w:cs="微软雅黑"/>
          <w:i w:val="0"/>
          <w:iCs w:val="0"/>
          <w:caps w:val="0"/>
          <w:color w:val="auto"/>
          <w:spacing w:val="0"/>
          <w:sz w:val="24"/>
          <w:szCs w:val="24"/>
        </w:rPr>
        <w:t>　　鼓励高校和企业整合双方资源，建设联合实验室（研发中心），发挥学校人才与专业综合性优势，围绕产业技术创新关键问题开展协同创新，实现高校知识溢出直接服务区域经济社会发展，推动应用科学研究成果的转化和应用，促进产业转型升级。强化校企联合开展技术攻关、产品研发、成果转化、项目孵化等工作，共同完成教学科研任务，共享研究成果，产出一批科技创新成果，提升产业创新发展竞争力。大力推动科教融合，将研究成果及时引入教学过程，促进科研与人才培养积极互动，发挥产学研合作示范影响，提升服务产业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微软雅黑" w:hAnsi="微软雅黑" w:eastAsia="微软雅黑" w:cs="微软雅黑"/>
          <w:i w:val="0"/>
          <w:iCs w:val="0"/>
          <w:caps w:val="0"/>
          <w:color w:val="auto"/>
          <w:spacing w:val="0"/>
          <w:sz w:val="24"/>
          <w:szCs w:val="24"/>
        </w:rPr>
        <w:t>　　（七）完善管理体制机制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微软雅黑" w:hAnsi="微软雅黑" w:eastAsia="微软雅黑" w:cs="微软雅黑"/>
          <w:i w:val="0"/>
          <w:iCs w:val="0"/>
          <w:caps w:val="0"/>
          <w:color w:val="auto"/>
          <w:spacing w:val="0"/>
          <w:sz w:val="24"/>
          <w:szCs w:val="24"/>
        </w:rPr>
        <w:t>　　强化高校、地方政府、行业协会、企业机构等多元主体协同，形成共建共管的组织架构，探索理事会、管委会等治理模式，赋予现代产业学院改革所需的人权、事权、财权，建设科学高效、保障有力的制度体系。充分考虑区域、行业、产业特点，结合高校自身禀赋特征，优化创新资源配置模式，增强“自我造血”能力，打造高校产教融合的示范区，实现教育链、创新链、产业链的深度融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微软雅黑" w:hAnsi="微软雅黑" w:eastAsia="微软雅黑" w:cs="微软雅黑"/>
          <w:i w:val="0"/>
          <w:iCs w:val="0"/>
          <w:caps w:val="0"/>
          <w:color w:val="auto"/>
          <w:spacing w:val="0"/>
          <w:sz w:val="24"/>
          <w:szCs w:val="24"/>
        </w:rPr>
        <w:t>　　</w:t>
      </w:r>
      <w:r>
        <w:rPr>
          <w:rStyle w:val="6"/>
          <w:rFonts w:hint="eastAsia" w:ascii="微软雅黑" w:hAnsi="微软雅黑" w:eastAsia="微软雅黑" w:cs="微软雅黑"/>
          <w:i w:val="0"/>
          <w:iCs w:val="0"/>
          <w:caps w:val="0"/>
          <w:color w:val="auto"/>
          <w:spacing w:val="0"/>
          <w:sz w:val="24"/>
          <w:szCs w:val="24"/>
        </w:rPr>
        <w:t>五、建设立项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微软雅黑" w:hAnsi="微软雅黑" w:eastAsia="微软雅黑" w:cs="微软雅黑"/>
          <w:i w:val="0"/>
          <w:iCs w:val="0"/>
          <w:caps w:val="0"/>
          <w:color w:val="auto"/>
          <w:spacing w:val="0"/>
          <w:sz w:val="24"/>
          <w:szCs w:val="24"/>
        </w:rPr>
        <w:t>　　教育部、工业和信息化部根据国家经济社会发展需求，加强顶层设计和统筹协调，规划现代产业学院建设布局，指导和组织开展现代产业学院立项建设和评估。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微软雅黑" w:hAnsi="微软雅黑" w:eastAsia="微软雅黑" w:cs="微软雅黑"/>
          <w:i w:val="0"/>
          <w:iCs w:val="0"/>
          <w:caps w:val="0"/>
          <w:color w:val="auto"/>
          <w:spacing w:val="0"/>
          <w:sz w:val="24"/>
          <w:szCs w:val="24"/>
        </w:rPr>
        <w:t>　　（一）申请条件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微软雅黑" w:hAnsi="微软雅黑" w:eastAsia="微软雅黑" w:cs="微软雅黑"/>
          <w:i w:val="0"/>
          <w:iCs w:val="0"/>
          <w:caps w:val="0"/>
          <w:color w:val="auto"/>
          <w:spacing w:val="0"/>
          <w:sz w:val="24"/>
          <w:szCs w:val="24"/>
        </w:rPr>
        <w:t>　　现代产业学院应已具备或近期可以达到以下基础条件：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微软雅黑" w:hAnsi="微软雅黑" w:eastAsia="微软雅黑" w:cs="微软雅黑"/>
          <w:i w:val="0"/>
          <w:iCs w:val="0"/>
          <w:caps w:val="0"/>
          <w:color w:val="auto"/>
          <w:spacing w:val="0"/>
          <w:sz w:val="24"/>
          <w:szCs w:val="24"/>
        </w:rPr>
        <w:t>　　1.人才培养主要专业与区域产业发展具有高度契合性，相关专业已经列入“国家级一流专业”建设范围，具有相对优势；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微软雅黑" w:hAnsi="微软雅黑" w:eastAsia="微软雅黑" w:cs="微软雅黑"/>
          <w:i w:val="0"/>
          <w:iCs w:val="0"/>
          <w:caps w:val="0"/>
          <w:color w:val="auto"/>
          <w:spacing w:val="0"/>
          <w:sz w:val="24"/>
          <w:szCs w:val="24"/>
        </w:rPr>
        <w:t>　　2.相关产业列入区域发展整体规划；参与的企业主体参考产教融合型企业相关要求，在区域产业链条中居主要地位，或在区域产业集群中居关键地位；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微软雅黑" w:hAnsi="微软雅黑" w:eastAsia="微软雅黑" w:cs="微软雅黑"/>
          <w:i w:val="0"/>
          <w:iCs w:val="0"/>
          <w:caps w:val="0"/>
          <w:color w:val="auto"/>
          <w:spacing w:val="0"/>
          <w:sz w:val="24"/>
          <w:szCs w:val="24"/>
        </w:rPr>
        <w:t>　　3.具有相对稳定的高水平教学团队；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微软雅黑" w:hAnsi="微软雅黑" w:eastAsia="微软雅黑" w:cs="微软雅黑"/>
          <w:i w:val="0"/>
          <w:iCs w:val="0"/>
          <w:caps w:val="0"/>
          <w:color w:val="auto"/>
          <w:spacing w:val="0"/>
          <w:sz w:val="24"/>
          <w:szCs w:val="24"/>
        </w:rPr>
        <w:t>　　4.相关企业主体参与的兼职教师人员，中、高级专业技术职务的人员数量不低于高校专职教师的数量；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微软雅黑" w:hAnsi="微软雅黑" w:eastAsia="微软雅黑" w:cs="微软雅黑"/>
          <w:i w:val="0"/>
          <w:iCs w:val="0"/>
          <w:caps w:val="0"/>
          <w:color w:val="auto"/>
          <w:spacing w:val="0"/>
          <w:sz w:val="24"/>
          <w:szCs w:val="24"/>
        </w:rPr>
        <w:t>　　5.加强产教融合，实践教学学时不低于专业人才培养方案总学时的30%；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微软雅黑" w:hAnsi="微软雅黑" w:eastAsia="微软雅黑" w:cs="微软雅黑"/>
          <w:i w:val="0"/>
          <w:iCs w:val="0"/>
          <w:caps w:val="0"/>
          <w:color w:val="auto"/>
          <w:spacing w:val="0"/>
          <w:sz w:val="24"/>
          <w:szCs w:val="24"/>
        </w:rPr>
        <w:t>　　6.具有相对丰富的教学资源；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微软雅黑" w:hAnsi="微软雅黑" w:eastAsia="微软雅黑" w:cs="微软雅黑"/>
          <w:i w:val="0"/>
          <w:iCs w:val="0"/>
          <w:caps w:val="0"/>
          <w:color w:val="auto"/>
          <w:spacing w:val="0"/>
          <w:sz w:val="24"/>
          <w:szCs w:val="24"/>
        </w:rPr>
        <w:t>　　7.初步形成理念先进、顺畅运行的管理体系；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微软雅黑" w:hAnsi="微软雅黑" w:eastAsia="微软雅黑" w:cs="微软雅黑"/>
          <w:i w:val="0"/>
          <w:iCs w:val="0"/>
          <w:caps w:val="0"/>
          <w:color w:val="auto"/>
          <w:spacing w:val="0"/>
          <w:sz w:val="24"/>
          <w:szCs w:val="24"/>
        </w:rPr>
        <w:t>　　8.学校能够提供相对集中、面积充足的物理空间，每年提供稳定的经费支持，用于人员聘任、日常运行；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微软雅黑" w:hAnsi="微软雅黑" w:eastAsia="微软雅黑" w:cs="微软雅黑"/>
          <w:i w:val="0"/>
          <w:iCs w:val="0"/>
          <w:caps w:val="0"/>
          <w:color w:val="auto"/>
          <w:spacing w:val="0"/>
          <w:sz w:val="24"/>
          <w:szCs w:val="24"/>
        </w:rPr>
        <w:t>　　9.学校给予发展所需政策扶持。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微软雅黑" w:hAnsi="微软雅黑" w:eastAsia="微软雅黑" w:cs="微软雅黑"/>
          <w:i w:val="0"/>
          <w:iCs w:val="0"/>
          <w:caps w:val="0"/>
          <w:color w:val="auto"/>
          <w:spacing w:val="0"/>
          <w:sz w:val="24"/>
          <w:szCs w:val="24"/>
        </w:rPr>
        <w:t>　　（二）立项程序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微软雅黑" w:hAnsi="微软雅黑" w:eastAsia="微软雅黑" w:cs="微软雅黑"/>
          <w:i w:val="0"/>
          <w:iCs w:val="0"/>
          <w:caps w:val="0"/>
          <w:color w:val="auto"/>
          <w:spacing w:val="0"/>
          <w:sz w:val="24"/>
          <w:szCs w:val="24"/>
        </w:rPr>
        <w:t>　　1.依托高校根据现代产业学院总体定位、建设思路，紧密结合实际，在充分论证基础上开展建设，搭建基础团队，明确体制机制。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微软雅黑" w:hAnsi="微软雅黑" w:eastAsia="微软雅黑" w:cs="微软雅黑"/>
          <w:i w:val="0"/>
          <w:iCs w:val="0"/>
          <w:caps w:val="0"/>
          <w:color w:val="auto"/>
          <w:spacing w:val="0"/>
          <w:sz w:val="24"/>
          <w:szCs w:val="24"/>
        </w:rPr>
        <w:t>　　2.具备条件的高校经上级主管部门同意后向教育部提出申请。同时，申请单位通过所在地省级工业和信息化主管部门向工业和信息化部报备。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微软雅黑" w:hAnsi="微软雅黑" w:eastAsia="微软雅黑" w:cs="微软雅黑"/>
          <w:i w:val="0"/>
          <w:iCs w:val="0"/>
          <w:caps w:val="0"/>
          <w:color w:val="auto"/>
          <w:spacing w:val="0"/>
          <w:sz w:val="24"/>
          <w:szCs w:val="24"/>
        </w:rPr>
        <w:t>　　3.教育部、工业和信息化部组织专家进行论证，重点考察人才培养模式、建设基础、政策支持和保障条件等，按照“分区论证、试点先行、分批启动”的原则进行培育建设。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Fonts w:hint="eastAsia" w:ascii="微软雅黑" w:hAnsi="微软雅黑" w:eastAsia="微软雅黑" w:cs="微软雅黑"/>
          <w:i w:val="0"/>
          <w:iCs w:val="0"/>
          <w:caps w:val="0"/>
          <w:color w:val="auto"/>
          <w:spacing w:val="0"/>
          <w:sz w:val="24"/>
          <w:szCs w:val="24"/>
        </w:rPr>
        <w:t>　　4.教育部、工业和信息化部将统筹各类资源，对现代产业学院建设予以政策支持和资源倾斜，加大对毕业生的就业指导和服务力度，推动稳定发展。　</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iNDJlMDdhMzEyY2Q4ODM2ZjFhZGU3ODc3MTE3YmEifQ=="/>
  </w:docVars>
  <w:rsids>
    <w:rsidRoot w:val="00000000"/>
    <w:rsid w:val="2B8C488B"/>
    <w:rsid w:val="2E434FFB"/>
    <w:rsid w:val="3E662762"/>
    <w:rsid w:val="56D83D25"/>
    <w:rsid w:val="5E330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3974</Words>
  <Characters>4042</Characters>
  <Lines>0</Lines>
  <Paragraphs>0</Paragraphs>
  <TotalTime>1</TotalTime>
  <ScaleCrop>false</ScaleCrop>
  <LinksUpToDate>false</LinksUpToDate>
  <CharactersWithSpaces>4138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2022-12-06T08:45:00Z</dcterms:created>
  <dc:creator>Administrator</dc:creator>
  <cp:lastModifiedBy>Administrator</cp:lastModifiedBy>
  <dcterms:modified xsi:type="dcterms:W3CDTF">2023-07-10T10:45:35Z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F1B1E36A09E64709A3BCAB13C10BBBB7</vt:lpwstr>
  </property>
</Properties>
</file>